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18"/>
    <w:p>
      <w:pPr>
        <w:pStyle w:val="Heading1"/>
      </w:pPr>
      <w:r>
        <w:t xml:space="preserve">Homiletics Analysis: Deuteronomy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18 divides into two distinct but organically connected sections. The first (vv. 1–8) addresses the provision God makes for the Levitical priests — their portion among Israel’s offerings, their right to serve at the central sanctuary, and their equal share in the ministry regardless of where they have been serving. The second and far weightier section (vv. 9–22) prohibits all forms of occult inquiry — child sacrifice, divination, sorcery, spiritism, necromancy — practices that characterize the nations Israel is displacing, and then grounds that prohibition in a positive promise: God will raise up a prophet like Moses from among Israel’s own brothers, through whom He will speak. The chapter closes with a test for discernment: a prophet whose words do not come to pass has not spoken from God and is not to be feared.</w:t>
      </w:r>
    </w:p>
    <w:p>
      <w:pPr>
        <w:pStyle w:val="BodyText"/>
      </w:pPr>
      <w:r>
        <w:t xml:space="preserve">The chapter’s logic is not accidental. The Levitical provision and the prophetic promise are both answers to the same underlying question:</w:t>
      </w:r>
      <w:r>
        <w:t xml:space="preserve"> </w:t>
      </w:r>
      <w:r>
        <w:rPr>
          <w:i/>
          <w:iCs/>
        </w:rPr>
        <w:t xml:space="preserve">How will Israel hear from God?</w:t>
      </w:r>
      <w:r>
        <w:t xml:space="preserve"> </w:t>
      </w:r>
      <w:r>
        <w:t xml:space="preserve">The priests mediate His worship and instruction; the prophet mediates His word and will. Both structures are God’s own provision. The prohibition on occult practices is thus not merely a moral boundary — it is the negative statement of a positive claim: God is sufficient to speak, and He has appointed the means by which He will do so. Israel has no need to go to the nations’ sources of revelation. They have the living God, and He will not be silent.</w:t>
      </w:r>
    </w:p>
    <w:p>
      <w:pPr>
        <w:pStyle w:val="BodyText"/>
      </w:pPr>
      <w:r>
        <w:rPr>
          <w:b/>
          <w:bCs/>
        </w:rPr>
        <w:t xml:space="preserve">This Text — Intent:</w:t>
      </w:r>
    </w:p>
    <w:p>
      <w:pPr>
        <w:pStyle w:val="BodyText"/>
      </w:pPr>
      <w:r>
        <w:t xml:space="preserve">God is calling Israel to rest in His sufficiency as the One who speaks — to trust His appointed channels of revelation rather than reaching for unauthorized and defiling substitutes. The intent is not mere obedience to a list of prohibitions but a reorientation of the heart: away from fear-driven, control-seeking inquiry into hidden things, and toward confident, expectant trust in a God who speaks clearly through those He appoints. The prophetic promise of vv. 15–22 is the climactic expression of this intent — God does not leave His people in the dark. He will raise up a prophet. Israel’s job is not to manufacture knowledge of the future but to listen when God speaks.</w:t>
      </w:r>
    </w:p>
    <w:p>
      <w:r>
        <w:pict>
          <v:rect style="width:0;height:1.5pt" o:hralign="center" o:hrstd="t" o:hr="t"/>
        </w:pict>
      </w:r>
    </w:p>
    <w:p>
      <w:pPr>
        <w:pStyle w:val="FirstParagraph"/>
      </w:pPr>
      <w:r>
        <w:rPr>
          <w:b/>
          <w:bCs/>
        </w:rPr>
        <w:t xml:space="preserve">Subject Sentence:</w:t>
      </w:r>
      <w:r>
        <w:t xml:space="preserve"> </w:t>
      </w:r>
      <w:r>
        <w:t xml:space="preserve">God alone speaks to His people — through His priests, His prophets, and ultimately His Prophet.</w:t>
      </w:r>
    </w:p>
    <w:p>
      <w:r>
        <w:pict>
          <v:rect style="width:0;height:1.5pt" o:hralign="center" o:hrstd="t" o:hr="t"/>
        </w:pict>
      </w:r>
    </w:p>
    <w:p>
      <w:pPr>
        <w:pStyle w:val="FirstParagraph"/>
      </w:pPr>
      <w:r>
        <w:rPr>
          <w:b/>
          <w:bCs/>
        </w:rPr>
        <w:t xml:space="preserve">Primary Claim:</w:t>
      </w:r>
      <w:r>
        <w:t xml:space="preserve"> </w:t>
      </w:r>
      <w:r>
        <w:t xml:space="preserve">God is calling His people to abandon every counterfeit source of revelation and to rest in His own sufficiency as the One who speaks — culminating in His promise to raise up the Prophet who will be His final and complete Word.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Prophetic Promise: Individual or Collective? Immediate or Eschatological?</w:t>
      </w:r>
    </w:p>
    <w:p>
      <w:pPr>
        <w:pStyle w:val="BodyText"/>
      </w:pPr>
      <w:r>
        <w:t xml:space="preserve">The most significant interpretive debate in Deuteronomy 18 concerns the nature of the prophetic promise in vv. 15–18. Three broad readings compete: (1) the promise refers collectively to the ongoing succession of prophets Israel would receive through the centuries — a prophetic</w:t>
      </w:r>
      <w:r>
        <w:t xml:space="preserve"> </w:t>
      </w:r>
      <w:r>
        <w:rPr>
          <w:i/>
          <w:iCs/>
        </w:rPr>
        <w:t xml:space="preserve">office</w:t>
      </w:r>
      <w:r>
        <w:t xml:space="preserve"> </w:t>
      </w:r>
      <w:r>
        <w:t xml:space="preserve">rather than a single figure; (2) the promise has an immediate historical referent (Joshua, Samuel, or another specific successor to Moses) and only secondarily, by typological extension, points to Christ; (3) the promise is a direct messianic prophecy pointing to a singular eschatological Prophet.</w:t>
      </w:r>
    </w:p>
    <w:p>
      <w:pPr>
        <w:pStyle w:val="BodyText"/>
      </w:pPr>
      <w:r>
        <w:t xml:space="preserve">The collective/office reading must be acknowledged as capturing something real: Moses himself is not speaking of an immediate successor but of a continuing provision, and the plural framing of the test in vv. 21–22 ("if a prophet speaks") suggests the chapter envisions a succession. However, this reading must be qualified, because the singular grammatical construction of v. 15 ("a prophet like me," not "prophets like me") and the superlative language of v. 18 ("I will put my words in his mouth") press toward a singular climactic fulfillment. No individual prophet in the Old Testament historical succession fully satisfied the "like Moses" criterion — Elijah and Isaiah come closest but fall short. The New Testament settles the question: the crowd at Jesus’s feeding of the five thousand (John 6:14), the crowd at His Triumphal Entry, Peter at Pentecost (Acts 3:22–26), and Stephen (Acts 7:37) all apply Deuteronomy 18:15–18 directly and singularly to Jesus. The Reformed reading is that the promise is typological and messianic simultaneously — genuinely fulfilled in the prophetic succession but eschatologically and finally fulfilled only in Christ, the Prophet who is God Himself speaking (Hebrews 1:1–2).</w:t>
      </w:r>
    </w:p>
    <w:p>
      <w:pPr>
        <w:pStyle w:val="BodyText"/>
      </w:pPr>
      <w:r>
        <w:rPr>
          <w:b/>
          <w:bCs/>
        </w:rPr>
        <w:t xml:space="preserve">The Dispensational Reading:</w:t>
      </w:r>
    </w:p>
    <w:p>
      <w:pPr>
        <w:pStyle w:val="BodyText"/>
      </w:pPr>
      <w:r>
        <w:t xml:space="preserve">Some dispensational interpreters read the prophetic promise as referring primarily to a literal future prophet who will arise in the millennial period or in connection with Israel’s national restoration, with Christ’s fulfillment being real but not exhaustive. This must be refuted on exegetical grounds: Peter and Stephen both present Christ as the definitive and final fulfillment of this text, not as a partial or preliminary one. The language of Acts 3:22–26 is not typological hedging — it is direct identification. There is no canonical warrant for a further fulfillment beyond Christ.</w:t>
      </w:r>
    </w:p>
    <w:p>
      <w:pPr>
        <w:pStyle w:val="BodyText"/>
      </w:pPr>
      <w:r>
        <w:rPr>
          <w:b/>
          <w:bCs/>
        </w:rPr>
        <w:t xml:space="preserve">The Charismatic/Continuationist Reading:</w:t>
      </w:r>
    </w:p>
    <w:p>
      <w:pPr>
        <w:pStyle w:val="BodyText"/>
      </w:pPr>
      <w:r>
        <w:t xml:space="preserve">Some charismatic interpreters use vv. 15–22 as a framework for ongoing prophetic ministry in the church — arguing that the gift of prophecy continues and that this passage grounds a continuing expectation of divine speech through Spirit-filled believers. This reading must be qualified. While the gift of prophecy does not disappear from the New Testament, Deuteronomy 18 is not its grounding — it is a promise of the</w:t>
      </w:r>
      <w:r>
        <w:t xml:space="preserve"> </w:t>
      </w:r>
      <w:r>
        <w:rPr>
          <w:i/>
          <w:iCs/>
        </w:rPr>
        <w:t xml:space="preserve">Prophet</w:t>
      </w:r>
      <w:r>
        <w:t xml:space="preserve">, not a charter for congregational prophecy. The test of vv. 21–22 (100% accuracy as the criterion of divine origin) applies to the office of canonical prophet and most directly to Christ, whose every word has proven true. Applying it directly to contemporary charismatic prophecy generates pastoral problems the text itself does not solve.</w:t>
      </w:r>
    </w:p>
    <w:p>
      <w:pPr>
        <w:pStyle w:val="BodyText"/>
      </w:pPr>
      <w:r>
        <w:rPr>
          <w:b/>
          <w:bCs/>
        </w:rPr>
        <w:t xml:space="preserve">The Occult Prohibition: Moral or Ceremonial?</w:t>
      </w:r>
    </w:p>
    <w:p>
      <w:pPr>
        <w:pStyle w:val="BodyText"/>
      </w:pPr>
      <w:r>
        <w:t xml:space="preserve">Some interpreters treat the prohibited practices of vv. 9–14 as culturally conditioned — belonging to a specific moment in Israel’s encounter with Canaanite religion and not carrying ongoing moral weight. This must be refuted. The prohibition is grounded not in cultural contingency but in God’s own character: "you shall be blameless before the LORD your God" (v. 13). The practices are condemned because they represent an attempt to access hidden knowledge through channels God has not authorized — a posture of distrust toward God’s own sufficiency and an openness to demonic mediation. The New Testament consistently treats sorcery, divination, and spiritism as ongoing moral prohibitions (Acts 8:9–24; 13:6–12; 16:16–18; Galatians 5:20; Revelation 21:8).</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12:6–8</w:t>
      </w:r>
      <w:r>
        <w:t xml:space="preserve"> </w:t>
      </w:r>
      <w:r>
        <w:t xml:space="preserve">— God distinguishes Moses from all other prophets: Moses received direct speech, not visions or dreams. The "like Moses" criterion in Deuteronomy 18 deliberately invokes this distinction, raising the eschatological stakes — the coming Prophet will match Moses’s level of direct divine communication.</w:t>
      </w:r>
    </w:p>
    <w:p>
      <w:pPr>
        <w:numPr>
          <w:ilvl w:val="0"/>
          <w:numId w:val="1001"/>
        </w:numPr>
      </w:pPr>
      <w:r>
        <w:rPr>
          <w:b/>
          <w:bCs/>
        </w:rPr>
        <w:t xml:space="preserve">John 1:1, 14, 18</w:t>
      </w:r>
      <w:r>
        <w:t xml:space="preserve"> </w:t>
      </w:r>
      <w:r>
        <w:t xml:space="preserve">— The Logos who is God becomes flesh and "exegetes" the Father — the word translated "made known" (v. 18) is ἐξηγήσατο, from which we get "exegesis." Christ is the definitive prophetic Word because He is not merely God’s spokesman but God speaking.</w:t>
      </w:r>
    </w:p>
    <w:p>
      <w:pPr>
        <w:numPr>
          <w:ilvl w:val="0"/>
          <w:numId w:val="1001"/>
        </w:numPr>
      </w:pPr>
      <w:r>
        <w:rPr>
          <w:b/>
          <w:bCs/>
        </w:rPr>
        <w:t xml:space="preserve">Acts 3:22–26</w:t>
      </w:r>
      <w:r>
        <w:t xml:space="preserve"> </w:t>
      </w:r>
      <w:r>
        <w:t xml:space="preserve">— Peter’s Pentecost sermon identifies Jesus as the fulfillment of Deuteronomy 18:15–18 explicitly, grounding the apostolic call to repentance in this very promise. The text is not typologically extended to Christ — it is directly fulfilled.</w:t>
      </w:r>
    </w:p>
    <w:p>
      <w:pPr>
        <w:numPr>
          <w:ilvl w:val="0"/>
          <w:numId w:val="1001"/>
        </w:numPr>
      </w:pPr>
      <w:r>
        <w:rPr>
          <w:b/>
          <w:bCs/>
        </w:rPr>
        <w:t xml:space="preserve">Hebrews 1:1–2</w:t>
      </w:r>
      <w:r>
        <w:t xml:space="preserve"> </w:t>
      </w:r>
      <w:r>
        <w:t xml:space="preserve">— "In many and various ways God spoke to our fathers through the prophets, but in these last days he has spoken to us by his Son." The entire prophetic succession of Deuteronomy 18 is gathered up and surpassed in Christ — who is not merely the final prophet but the Son through whom all prior prophetic speech was anticipating.</w:t>
      </w:r>
    </w:p>
    <w:p>
      <w:pPr>
        <w:numPr>
          <w:ilvl w:val="0"/>
          <w:numId w:val="1001"/>
        </w:numPr>
      </w:pPr>
      <w:r>
        <w:rPr>
          <w:b/>
          <w:bCs/>
        </w:rPr>
        <w:t xml:space="preserve">Isaiah 8:19–20</w:t>
      </w:r>
      <w:r>
        <w:t xml:space="preserve"> </w:t>
      </w:r>
      <w:r>
        <w:t xml:space="preserve">— "Should not a people seek their God? Why consult the dead on behalf of the living? To the law and to the testimony!" Isaiah directly echoes Deuteronomy 18’s logic — the prohibition on necromancy and divination is grounded in the sufficiency of God’s own word. The same choice confronts every generation.</w:t>
      </w:r>
    </w:p>
    <w:p>
      <w:r>
        <w:pict>
          <v:rect style="width:0;height:1.5pt" o:hralign="center" o:hrstd="t" o:hr="t"/>
        </w:pict>
      </w:r>
    </w:p>
    <w:p>
      <w:pPr>
        <w:pStyle w:val="FirstParagraph"/>
      </w:pPr>
      <w:r>
        <w:rPr>
          <w:b/>
          <w:bCs/>
        </w:rPr>
        <w:t xml:space="preserve">Aim:</w:t>
      </w:r>
      <w:r>
        <w:t xml:space="preserve"> </w:t>
      </w:r>
      <w:r>
        <w:t xml:space="preserve">To lead readers to see that every form of anxiety-driven seeking after hidden knowledge is a failure to trust God’s own sufficiency as the One who speaks — and to rest instead in Christ, the Prophet who has spoken the Father fully and finally.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Levitical priests have no territorial inheritance; the LORD is their inheritance</w:t>
            </w:r>
          </w:p>
        </w:tc>
        <w:tc>
          <w:tcPr/>
          <w:p>
            <w:pPr>
              <w:pStyle w:val="Compact"/>
            </w:pPr>
            <w:r>
              <w:t xml:space="preserve">Establishes the Levites’ dependence on God’s provision through the offerings</w:t>
            </w:r>
          </w:p>
        </w:tc>
      </w:tr>
      <w:tr>
        <w:tc>
          <w:tcPr/>
          <w:p>
            <w:pPr>
              <w:pStyle w:val="Compact"/>
            </w:pPr>
            <w:r>
              <w:t xml:space="preserve">3–5</w:t>
            </w:r>
          </w:p>
        </w:tc>
        <w:tc>
          <w:tcPr/>
          <w:p>
            <w:pPr>
              <w:pStyle w:val="Compact"/>
            </w:pPr>
            <w:r>
              <w:t xml:space="preserve">Specification of the priests’ due portions from sacrificial animals and first fruits</w:t>
            </w:r>
          </w:p>
        </w:tc>
        <w:tc>
          <w:tcPr/>
          <w:p>
            <w:pPr>
              <w:pStyle w:val="Compact"/>
            </w:pPr>
            <w:r>
              <w:t xml:space="preserve">Shoulder, cheeks, stomach; first of grain, new wine, oil, first fleece — concrete provision</w:t>
            </w:r>
          </w:p>
        </w:tc>
      </w:tr>
      <w:tr>
        <w:tc>
          <w:tcPr/>
          <w:p>
            <w:pPr>
              <w:pStyle w:val="Compact"/>
            </w:pPr>
            <w:r>
              <w:t xml:space="preserve">6–8</w:t>
            </w:r>
          </w:p>
        </w:tc>
        <w:tc>
          <w:tcPr/>
          <w:p>
            <w:pPr>
              <w:pStyle w:val="Compact"/>
            </w:pPr>
            <w:r>
              <w:t xml:space="preserve">A Levite from any town in Israel may come to the central sanctuary and minister equally; he receives equal portions</w:t>
            </w:r>
          </w:p>
        </w:tc>
        <w:tc>
          <w:tcPr/>
          <w:p>
            <w:pPr>
              <w:pStyle w:val="Compact"/>
            </w:pPr>
            <w:r>
              <w:t xml:space="preserve">Guards against a two-tier priesthood; all Levites have equal standing before God</w:t>
            </w:r>
          </w:p>
        </w:tc>
      </w:tr>
      <w:tr>
        <w:tc>
          <w:tcPr/>
          <w:p>
            <w:pPr>
              <w:pStyle w:val="Compact"/>
            </w:pPr>
            <w:r>
              <w:t xml:space="preserve">9–11</w:t>
            </w:r>
          </w:p>
        </w:tc>
        <w:tc>
          <w:tcPr/>
          <w:p>
            <w:pPr>
              <w:pStyle w:val="Compact"/>
            </w:pPr>
            <w:r>
              <w:t xml:space="preserve">Categorical prohibition of Canaanite occult practices: child sacrifice, divination, omens, sorcery, spells, mediums, spiritists, necromancy</w:t>
            </w:r>
          </w:p>
        </w:tc>
        <w:tc>
          <w:tcPr/>
          <w:p>
            <w:pPr>
              <w:pStyle w:val="Compact"/>
            </w:pPr>
            <w:r>
              <w:t xml:space="preserve">Ten distinct practices listed — comprehensive prohibition, not a partial one</w:t>
            </w:r>
          </w:p>
        </w:tc>
      </w:tr>
      <w:tr>
        <w:tc>
          <w:tcPr/>
          <w:p>
            <w:pPr>
              <w:pStyle w:val="Compact"/>
            </w:pPr>
            <w:r>
              <w:t xml:space="preserve">12</w:t>
            </w:r>
          </w:p>
        </w:tc>
        <w:tc>
          <w:tcPr/>
          <w:p>
            <w:pPr>
              <w:pStyle w:val="Compact"/>
            </w:pPr>
            <w:r>
              <w:t xml:space="preserve">These practices are an abomination to the LORD; they are the reason for the nations’ displacement</w:t>
            </w:r>
          </w:p>
        </w:tc>
        <w:tc>
          <w:tcPr/>
          <w:p>
            <w:pPr>
              <w:pStyle w:val="Compact"/>
            </w:pPr>
            <w:r>
              <w:t xml:space="preserve">The moral grounding of the prohibition — not cultural preference but God’s character</w:t>
            </w:r>
          </w:p>
        </w:tc>
      </w:tr>
      <w:tr>
        <w:tc>
          <w:tcPr/>
          <w:p>
            <w:pPr>
              <w:pStyle w:val="Compact"/>
            </w:pPr>
            <w:r>
              <w:t xml:space="preserve">13</w:t>
            </w:r>
          </w:p>
        </w:tc>
        <w:tc>
          <w:tcPr/>
          <w:p>
            <w:pPr>
              <w:pStyle w:val="Compact"/>
            </w:pPr>
            <w:r>
              <w:t xml:space="preserve">Positive summary command: "You shall be blameless before the LORD your God"</w:t>
            </w:r>
          </w:p>
        </w:tc>
        <w:tc>
          <w:tcPr/>
          <w:p>
            <w:pPr>
              <w:pStyle w:val="Compact"/>
            </w:pPr>
            <w:r>
              <w:t xml:space="preserve">בָּמִים (tamim) — wholehearted, undivided, complete — covenant integrity</w:t>
            </w:r>
          </w:p>
        </w:tc>
      </w:tr>
      <w:tr>
        <w:tc>
          <w:tcPr/>
          <w:p>
            <w:pPr>
              <w:pStyle w:val="Compact"/>
            </w:pPr>
            <w:r>
              <w:t xml:space="preserve">14–15</w:t>
            </w:r>
          </w:p>
        </w:tc>
        <w:tc>
          <w:tcPr/>
          <w:p>
            <w:pPr>
              <w:pStyle w:val="Compact"/>
            </w:pPr>
            <w:r>
              <w:t xml:space="preserve">The nations listen to diviners; Israel will not — God will raise up a prophet like Moses</w:t>
            </w:r>
          </w:p>
        </w:tc>
        <w:tc>
          <w:tcPr/>
          <w:p>
            <w:pPr>
              <w:pStyle w:val="Compact"/>
            </w:pPr>
            <w:r>
              <w:t xml:space="preserve">The transition: prohibition grounded in positive promise. "The LORD your God will raise up for you"</w:t>
            </w:r>
          </w:p>
        </w:tc>
      </w:tr>
      <w:tr>
        <w:tc>
          <w:tcPr/>
          <w:p>
            <w:pPr>
              <w:pStyle w:val="Compact"/>
            </w:pPr>
            <w:r>
              <w:t xml:space="preserve">16–17</w:t>
            </w:r>
          </w:p>
        </w:tc>
        <w:tc>
          <w:tcPr/>
          <w:p>
            <w:pPr>
              <w:pStyle w:val="Compact"/>
            </w:pPr>
            <w:r>
              <w:t xml:space="preserve">The promise originates in Israel’s own request at Horeb — they asked not to hear God’s voice directly</w:t>
            </w:r>
          </w:p>
        </w:tc>
        <w:tc>
          <w:tcPr/>
          <w:p>
            <w:pPr>
              <w:pStyle w:val="Compact"/>
            </w:pPr>
            <w:r>
              <w:t xml:space="preserve">God honors their request; the prophetic office is itself an act of grace meeting human weakness</w:t>
            </w:r>
          </w:p>
        </w:tc>
      </w:tr>
      <w:tr>
        <w:tc>
          <w:tcPr/>
          <w:p>
            <w:pPr>
              <w:pStyle w:val="Compact"/>
            </w:pPr>
            <w:r>
              <w:t xml:space="preserve">18</w:t>
            </w:r>
          </w:p>
        </w:tc>
        <w:tc>
          <w:tcPr/>
          <w:p>
            <w:pPr>
              <w:pStyle w:val="Compact"/>
            </w:pPr>
            <w:r>
              <w:t xml:space="preserve">God will put His words in the prophet’s mouth; the prophet will speak everything God commands</w:t>
            </w:r>
          </w:p>
        </w:tc>
        <w:tc>
          <w:tcPr/>
          <w:p>
            <w:pPr>
              <w:pStyle w:val="Compact"/>
            </w:pPr>
            <w:r>
              <w:t xml:space="preserve">Direct parallel to Moses — the medium of revelation is divine speech through a human mouth</w:t>
            </w:r>
          </w:p>
        </w:tc>
      </w:tr>
      <w:tr>
        <w:tc>
          <w:tcPr/>
          <w:p>
            <w:pPr>
              <w:pStyle w:val="Compact"/>
            </w:pPr>
            <w:r>
              <w:t xml:space="preserve">19</w:t>
            </w:r>
          </w:p>
        </w:tc>
        <w:tc>
          <w:tcPr/>
          <w:p>
            <w:pPr>
              <w:pStyle w:val="Compact"/>
            </w:pPr>
            <w:r>
              <w:t xml:space="preserve">Accountability: whoever does not listen to the prophet’s words will answer to God</w:t>
            </w:r>
          </w:p>
        </w:tc>
        <w:tc>
          <w:tcPr/>
          <w:p>
            <w:pPr>
              <w:pStyle w:val="Compact"/>
            </w:pPr>
            <w:r>
              <w:t xml:space="preserve">The stakes of prophetic proclamation — rejection of the prophet is rejection of God</w:t>
            </w:r>
          </w:p>
        </w:tc>
      </w:tr>
      <w:tr>
        <w:tc>
          <w:tcPr/>
          <w:p>
            <w:pPr>
              <w:pStyle w:val="Compact"/>
            </w:pPr>
            <w:r>
              <w:t xml:space="preserve">20</w:t>
            </w:r>
          </w:p>
        </w:tc>
        <w:tc>
          <w:tcPr/>
          <w:p>
            <w:pPr>
              <w:pStyle w:val="Compact"/>
            </w:pPr>
            <w:r>
              <w:t xml:space="preserve">False prophets face death: those who speak presumptuously in God’s name or in the name of other gods</w:t>
            </w:r>
          </w:p>
        </w:tc>
        <w:tc>
          <w:tcPr/>
          <w:p>
            <w:pPr>
              <w:pStyle w:val="Compact"/>
            </w:pPr>
            <w:r>
              <w:t xml:space="preserve">Two categories of false prophecy — appropriating God’s authority falsely, or serving alien gods</w:t>
            </w:r>
          </w:p>
        </w:tc>
      </w:tr>
      <w:tr>
        <w:tc>
          <w:tcPr/>
          <w:p>
            <w:pPr>
              <w:pStyle w:val="Compact"/>
            </w:pPr>
            <w:r>
              <w:t xml:space="preserve">21–22</w:t>
            </w:r>
          </w:p>
        </w:tc>
        <w:tc>
          <w:tcPr/>
          <w:p>
            <w:pPr>
              <w:pStyle w:val="Compact"/>
            </w:pPr>
            <w:r>
              <w:t xml:space="preserve">The test: if a prophet’s word does not come to pass, he has not spoken from God; do not fear him</w:t>
            </w:r>
          </w:p>
        </w:tc>
        <w:tc>
          <w:tcPr/>
          <w:p>
            <w:pPr>
              <w:pStyle w:val="Compact"/>
            </w:pPr>
            <w:r>
              <w:t xml:space="preserve">Non-fulfillment as the negative criterion. Note: fulfillment alone is not sufficient (cf. Deut. 13:1–3)</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God Provides for His Priests: The Levites’ Portion and Equal Standing</w:t>
            </w:r>
          </w:p>
        </w:tc>
      </w:tr>
      <w:tr>
        <w:tc>
          <w:tcPr/>
          <w:p>
            <w:pPr>
              <w:pStyle w:val="Compact"/>
            </w:pPr>
            <w:r>
              <w:t xml:space="preserve">2</w:t>
            </w:r>
          </w:p>
        </w:tc>
        <w:tc>
          <w:tcPr/>
          <w:p>
            <w:pPr>
              <w:pStyle w:val="Compact"/>
            </w:pPr>
            <w:r>
              <w:t xml:space="preserve">9–14</w:t>
            </w:r>
          </w:p>
        </w:tc>
        <w:tc>
          <w:tcPr/>
          <w:p>
            <w:pPr>
              <w:pStyle w:val="Compact"/>
            </w:pPr>
            <w:r>
              <w:t xml:space="preserve">God Forbids Every Counterfeit: The Prohibition of Occult Inquiry</w:t>
            </w:r>
          </w:p>
        </w:tc>
      </w:tr>
      <w:tr>
        <w:tc>
          <w:tcPr/>
          <w:p>
            <w:pPr>
              <w:pStyle w:val="Compact"/>
            </w:pPr>
            <w:r>
              <w:t xml:space="preserve">3</w:t>
            </w:r>
          </w:p>
        </w:tc>
        <w:tc>
          <w:tcPr/>
          <w:p>
            <w:pPr>
              <w:pStyle w:val="Compact"/>
            </w:pPr>
            <w:r>
              <w:t xml:space="preserve">15–19</w:t>
            </w:r>
          </w:p>
        </w:tc>
        <w:tc>
          <w:tcPr/>
          <w:p>
            <w:pPr>
              <w:pStyle w:val="Compact"/>
            </w:pPr>
            <w:r>
              <w:t xml:space="preserve">God Promises His Prophet: The Coming Voice Like Moses</w:t>
            </w:r>
          </w:p>
        </w:tc>
      </w:tr>
      <w:tr>
        <w:tc>
          <w:tcPr/>
          <w:p>
            <w:pPr>
              <w:pStyle w:val="Compact"/>
            </w:pPr>
            <w:r>
              <w:t xml:space="preserve">4</w:t>
            </w:r>
          </w:p>
        </w:tc>
        <w:tc>
          <w:tcPr/>
          <w:p>
            <w:pPr>
              <w:pStyle w:val="Compact"/>
            </w:pPr>
            <w:r>
              <w:t xml:space="preserve">20–22</w:t>
            </w:r>
          </w:p>
        </w:tc>
        <w:tc>
          <w:tcPr/>
          <w:p>
            <w:pPr>
              <w:pStyle w:val="Compact"/>
            </w:pPr>
            <w:r>
              <w:t xml:space="preserve">God Provides Discernment: The Test That Guards His Word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alone speaks to His people — through His priests, His prophets, and ultimately His Prophet.</w:t>
      </w:r>
    </w:p>
    <w:p>
      <w:pPr>
        <w:pStyle w:val="BodyText"/>
      </w:pPr>
      <w:r>
        <w:rPr>
          <w:b/>
          <w:bCs/>
        </w:rPr>
        <w:t xml:space="preserve">Primary Claim:</w:t>
      </w:r>
      <w:r>
        <w:t xml:space="preserve"> </w:t>
      </w:r>
      <w:r>
        <w:t xml:space="preserve">God is calling His people to abandon every counterfeit source of revelation and to rest in His own sufficiency as the One who speaks — culminating in His promise to raise up the Prophet who will be His final and complete Word.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anxiety about the unknown is actually saying about God.</w:t>
      </w:r>
      <w:r>
        <w:t xml:space="preserve"> </w:t>
      </w:r>
      <w:r>
        <w:rPr>
          <w:i/>
          <w:iCs/>
        </w:rPr>
        <w:t xml:space="preserve">(Mind/belief)</w:t>
      </w:r>
      <w:r>
        <w:t xml:space="preserve"> </w:t>
      </w:r>
      <w:r>
        <w:t xml:space="preserve">When we are driven by anxiety about the future — compulsively seeking certainty through every available means — we are implicitly declaring that God’s provision for our knowledge is insufficient. Deuteronomy 18 names this as the deep logic behind Israel’s temptation toward divination: they did not trust that God’s appointed word was enough. The same movement operates in contemporary life. Obsessive self-diagnosis, the compulsive consumption of news and forecasting, the anxious consultation of every opinion before making a decision — these can be functional forms of the same distrust. The question Deuteronomy 18 puts to us is not merely "are you consulting a medium?" but "do you believe God’s word is sufficient for what you need to know?"</w:t>
      </w:r>
    </w:p>
    <w:p>
      <w:pPr>
        <w:pStyle w:val="BodyText"/>
      </w:pPr>
      <w:r>
        <w:rPr>
          <w:b/>
          <w:bCs/>
        </w:rPr>
        <w:t xml:space="preserve">2. Grieve the ways the church has accommodated counterfeit revelation rather than confronted it.</w:t>
      </w:r>
      <w:r>
        <w:t xml:space="preserve"> </w:t>
      </w:r>
      <w:r>
        <w:rPr>
          <w:i/>
          <w:iCs/>
        </w:rPr>
        <w:t xml:space="preserve">(Affections/worship)</w:t>
      </w:r>
      <w:r>
        <w:t xml:space="preserve"> </w:t>
      </w:r>
      <w:r>
        <w:t xml:space="preserve">The practices prohibited in vv. 9–14 are described as abominations — they provoke God’s revulsion precisely because they represent His people turning to defiling sources of spiritual knowledge while He stands ready to speak. The contemporary church frequently accommodates rather than confronts: astrology treated as personality typology, therapeutic frameworks that displace rather than complement scriptural categories, the "universe" replacing the LORD as the one who guides. This is not a call to pharisaical policing of cultural habits. It is a call to genuine grief — the kind that comes from loving God and feeling the weight of what it means to treat His sufficiency as inadequate.</w:t>
      </w:r>
    </w:p>
    <w:p>
      <w:pPr>
        <w:pStyle w:val="BodyText"/>
      </w:pPr>
      <w:r>
        <w:rPr>
          <w:b/>
          <w:bCs/>
        </w:rPr>
        <w:t xml:space="preserve">3. Listen to Christ as the Prophet — which means listening to Scripture as the voice of the Prophet.</w:t>
      </w:r>
      <w:r>
        <w:t xml:space="preserve"> </w:t>
      </w:r>
      <w:r>
        <w:rPr>
          <w:i/>
          <w:iCs/>
        </w:rPr>
        <w:t xml:space="preserve">(Will/behavior)</w:t>
      </w:r>
      <w:r>
        <w:t xml:space="preserve"> </w:t>
      </w:r>
      <w:r>
        <w:t xml:space="preserve">Peter in Acts 3:22–26 presents the fulfillment of Deuteronomy 18:15 as a call to action: "listen to him in whatever he tells you." The practical implication is not abstract — it means treating the words of Christ in the Gospels, and the apostolic testimony that unpacks those words throughout the New Testament, as the actual living speech of the One who surpasses Moses. Where Israel was called to listen to God’s prophet, the church is called to listen to God’s Son speaking through Scripture. The application is concrete: what would it mean to come to Scripture this week not as a text to be analyzed but as a prophet to be heard?</w:t>
      </w:r>
    </w:p>
    <w:p>
      <w:pPr>
        <w:pStyle w:val="BodyText"/>
      </w:pPr>
      <w:r>
        <w:rPr>
          <w:b/>
          <w:bCs/>
        </w:rPr>
        <w:t xml:space="preserve">4. Root out the idol of control beneath the desire for hidden knowledge.</w:t>
      </w:r>
      <w:r>
        <w:t xml:space="preserve"> </w:t>
      </w:r>
      <w:r>
        <w:rPr>
          <w:i/>
          <w:iCs/>
        </w:rPr>
        <w:t xml:space="preserve">(Affections/worship)</w:t>
      </w:r>
      <w:r>
        <w:t xml:space="preserve"> </w:t>
      </w:r>
      <w:r>
        <w:t xml:space="preserve">The Keller diagnostic is useful here: behind the practices Deuteronomy 18 prohibits is not merely curiosity — it is the idol of control. If I can know the future, I can manage it. If I can access hidden information, I can protect myself. Divination and its contemporary equivalents are control strategies dressed as spiritual practices. Deuteronomy 18 calls Israel — and calls us — to a different posture: not the one who manages reality through superior information, but the one who is "blameless before the LORD" (v. 13), trusting that what God has chosen to reveal is what He has chosen to govern. This requires not merely stopping a behavior but diagnosing and surrendering an idol.</w:t>
      </w:r>
    </w:p>
    <w:p>
      <w:pPr>
        <w:pStyle w:val="BodyText"/>
      </w:pPr>
      <w:r>
        <w:rPr>
          <w:b/>
          <w:bCs/>
        </w:rPr>
        <w:t xml:space="preserve">5. Hold false teaching to the standard of Deuteronomy 18 — and be willing to act on the verdict.</w:t>
      </w:r>
      <w:r>
        <w:t xml:space="preserve"> </w:t>
      </w:r>
      <w:r>
        <w:rPr>
          <w:i/>
          <w:iCs/>
        </w:rPr>
        <w:t xml:space="preserve">(Will/behavior)</w:t>
      </w:r>
      <w:r>
        <w:t xml:space="preserve"> </w:t>
      </w:r>
      <w:r>
        <w:t xml:space="preserve">Verses 20–22 are not abstract. They provide a criterion — does this teacher’s word come to pass? Does this prophetic claim prove true? — and they apply a verdict: do not fear him. The application for the contemporary believer is not to compile lists of failed prophecies (though that is sometimes appropriate) but to take seriously the responsibility to test teaching and to refuse to be governed by authoritative-sounding claims that cannot survive scrutiny. The fear Deuteronomy 18:22 forbids is not merely emotional intimidation — it is the kind of deference that grants a false teacher ongoing authority over one’s life and decisions. The command is: stop deferring. The Prophet has spoken. You do not need this substitute.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18 makes a claim about God that runs from creation to consummation: He is a God who speaks, and He speaks sufficiently. The chapter does not merely regulate prophetic practice — it reveals God’s character as the one who takes responsibility for His people’s access to His will. The Levitical provision (vv. 1–8) shows that God structures His own worship so that those who serve Him are sustained by Him. The prophetic promise (vv. 15–22) shows that God does not leave His people to manufacture revelation — He raises up His own spokesman and puts His own words in that spokesman’s mouth. Both structures together reveal a God whose sufficiency is not passive availability but active, structured, covenantal provision. The abomination language of v. 12 reveals the depth of this claim: when Israel seeks other sources of revelation, they are not merely making a practical error — they are committing a relational betrayal, turning from a speaking God to silent substitutes.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18 is one of the canonical foundations of the Reformed doctrine of the sufficiency of Scripture. The Westminster Confession’s claim that "the whole counsel of God, concerning all things necessary for His own glory, man’s salvation, faith, and life, is either expressly set down in Scripture, or by good and necessary consequence may be deduced from Scripture" (WCF 1.6) has its deep roots in passages like this one — God’s own promise that He will provide a prophet through whom He will speak, and that this provision is sufficient to govern His people’s life. The prophetic promise finds its christological fulfillment in the one the Father designates at the Transfiguration with language drawn from this very text: "Listen to him" (Matthew 17:5). Christ is not merely a prophet among prophets — He is the Prophet in whose mouth the Father placed His own word, and to whose voice the whole prophetic succession was pointing. The Reformed insistence on</w:t>
      </w:r>
      <w:r>
        <w:t xml:space="preserve"> </w:t>
      </w:r>
      <w:r>
        <w:rPr>
          <w:i/>
          <w:iCs/>
        </w:rPr>
        <w:t xml:space="preserve">sola scriptura</w:t>
      </w:r>
      <w:r>
        <w:t xml:space="preserve"> </w:t>
      </w:r>
      <w:r>
        <w:t xml:space="preserve">is thus not a formal epistemological principle — it is a covenantal act of trust in the God who promised He would speak, and who in Christ has spoken finally and fully.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silent, and His silence is not the reason you are reaching for substitutes — His</w:t>
      </w:r>
      <w:r>
        <w:t xml:space="preserve"> </w:t>
      </w:r>
      <w:r>
        <w:rPr>
          <w:i/>
          <w:iCs/>
        </w:rPr>
        <w:t xml:space="preserve">sufficiency</w:t>
      </w:r>
      <w:r>
        <w:t xml:space="preserve"> </w:t>
      </w:r>
      <w:r>
        <w:t xml:space="preserve">is the problem. You do not need the medium, the astrologer, the forecaster, or the teacher who claims private access to what God has not revealed, because the Prophet has already spoken and His words are in your hands. The question Deuteronomy 18 presses on every generation is the same: will you trust the God who speaks, or will you keep shopping for a better source?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prohibition list without grounding the prohibitions in the positive promise.</w:t>
      </w:r>
      <w:r>
        <w:t xml:space="preserve"> </w:t>
      </w:r>
      <w:r>
        <w:t xml:space="preserve">The most common homiletical failure with Deuteronomy 18 is treating vv. 9–14 as the chapter’s center — producing a sermon that is primarily about what Israel (and we) must not do. The chapter’s architecture places the prophetic promise as the climax, and the prohibition is the</w:t>
      </w:r>
      <w:r>
        <w:t xml:space="preserve"> </w:t>
      </w:r>
      <w:r>
        <w:rPr>
          <w:i/>
          <w:iCs/>
        </w:rPr>
        <w:t xml:space="preserve">negative</w:t>
      </w:r>
      <w:r>
        <w:t xml:space="preserve"> </w:t>
      </w:r>
      <w:r>
        <w:t xml:space="preserve">form of the</w:t>
      </w:r>
      <w:r>
        <w:t xml:space="preserve"> </w:t>
      </w:r>
      <w:r>
        <w:rPr>
          <w:i/>
          <w:iCs/>
        </w:rPr>
        <w:t xml:space="preserve">positive</w:t>
      </w:r>
      <w:r>
        <w:t xml:space="preserve"> </w:t>
      </w:r>
      <w:r>
        <w:t xml:space="preserve">claim that God is sufficient to speak. A sermon that leaves the congregation knowing what to avoid but not knowing what they have been given has preached only half the chapter and left the law without the gospel.</w:t>
      </w:r>
    </w:p>
    <w:p>
      <w:pPr>
        <w:numPr>
          <w:ilvl w:val="0"/>
          <w:numId w:val="1002"/>
        </w:numPr>
      </w:pPr>
      <w:r>
        <w:rPr>
          <w:b/>
          <w:bCs/>
        </w:rPr>
        <w:t xml:space="preserve">Treating the prophetic promise as merely an Old Testament institution without following it to Christ.</w:t>
      </w:r>
      <w:r>
        <w:t xml:space="preserve"> </w:t>
      </w:r>
      <w:r>
        <w:t xml:space="preserve">Some expository approaches read vv. 15–22 as applying only to the Mosaic prophetic succession, noting Joshua or Elijah as exemplary fulfillments, and stopping there. This leaves the most significant canonical connection unmade. Acts 3:22–26 and Acts 7:37 are not optional footnotes — they are the New Testament’s own insistence that this text requires a christological fulfillment. A preacher who does not get from Deuteronomy 18 to Christ has not finished the sermon.</w:t>
      </w:r>
    </w:p>
    <w:p>
      <w:pPr>
        <w:numPr>
          <w:ilvl w:val="0"/>
          <w:numId w:val="1002"/>
        </w:numPr>
      </w:pPr>
      <w:r>
        <w:rPr>
          <w:b/>
          <w:bCs/>
        </w:rPr>
        <w:t xml:space="preserve">Applying the occult prohibition as cultural critique without self-examination.</w:t>
      </w:r>
      <w:r>
        <w:t xml:space="preserve"> </w:t>
      </w:r>
      <w:r>
        <w:t xml:space="preserve">Deuteronomy 18:9–14 is frequently preached as a warning against obviously-other practices — Ouija boards, horoscopes, tarot cards — without pressing the underlying logic to contemporary middle-class forms of control-seeking. The idol of control, the compulsive consumption of forecasting and analysis, the refusal to rest in what God has revealed — these are functionally the same posture dressed in respectable clothes. The pitfall is producing a congregation that is confident they are not consulting mediums while remaining untouched by the chapter’s actual diagnosis.</w:t>
      </w:r>
    </w:p>
    <w:p>
      <w:pPr>
        <w:numPr>
          <w:ilvl w:val="0"/>
          <w:numId w:val="1002"/>
        </w:numPr>
      </w:pPr>
      <w:r>
        <w:rPr>
          <w:b/>
          <w:bCs/>
        </w:rPr>
        <w:t xml:space="preserve">Misapplying the prophetic test of vv. 21–22 to contemporary charismatic prophecy without canonical context.</w:t>
      </w:r>
      <w:r>
        <w:t xml:space="preserve"> </w:t>
      </w:r>
      <w:r>
        <w:t xml:space="preserve">Preachers sometimes use the 100% accuracy test as a quick-draw argument against charismatic prophecy. While the test is relevant and the broader Deuteronomic context (ch. 13) reinforces its seriousness, the primary application in Deuteronomy 18 is to the office of canonical prophet — and its ultimate fulfillment is Christ, not a contemporary ecclesiastical category. The test should be applied thoughtfully and canonically, not as a polemical shortcut.</w:t>
      </w:r>
    </w:p>
    <w:p>
      <w:pPr>
        <w:numPr>
          <w:ilvl w:val="0"/>
          <w:numId w:val="1002"/>
        </w:numPr>
      </w:pPr>
      <w:r>
        <w:rPr>
          <w:b/>
          <w:bCs/>
        </w:rPr>
        <w:t xml:space="preserve">Neglecting the Levitical provision section as merely administrative.</w:t>
      </w:r>
      <w:r>
        <w:t xml:space="preserve"> </w:t>
      </w:r>
      <w:r>
        <w:t xml:space="preserve">Verses 1–8 are sometimes treated as an institutional preamble with no theological weight — a warm-up before the important material. But the Levitical provision section establishes the chapter’s foundational claim: God</w:t>
      </w:r>
      <w:r>
        <w:t xml:space="preserve"> </w:t>
      </w:r>
      <w:r>
        <w:rPr>
          <w:i/>
          <w:iCs/>
        </w:rPr>
        <w:t xml:space="preserve">provides</w:t>
      </w:r>
      <w:r>
        <w:t xml:space="preserve"> </w:t>
      </w:r>
      <w:r>
        <w:t xml:space="preserve">for those He appoints to mediate between Him and His people. This is not administration — it is theology. The same God who provides for the Levites’ physical sustenance provides the prophet who speaks His words. Both are expressions of His covenantal sufficiency. Skipping vv. 1–8 severs the chapter’s thematic unity.</w:t>
      </w:r>
    </w:p>
    <w:p>
      <w:pPr>
        <w:numPr>
          <w:ilvl w:val="0"/>
          <w:numId w:val="1002"/>
        </w:numPr>
      </w:pPr>
      <w:r>
        <w:rPr>
          <w:b/>
          <w:bCs/>
        </w:rPr>
        <w:t xml:space="preserve">Preaching the "blameless" command of v. 13 as a moral standard to achieve rather than a covenantal posture to inhabit.</w:t>
      </w:r>
      <w:r>
        <w:t xml:space="preserve"> </w:t>
      </w:r>
      <w:r>
        <w:t xml:space="preserve">תָּמִים (</w:t>
      </w:r>
      <w:r>
        <w:rPr>
          <w:i/>
          <w:iCs/>
        </w:rPr>
        <w:t xml:space="preserve">tamim</w:t>
      </w:r>
      <w:r>
        <w:t xml:space="preserve">) in v. 13 does not mean moral perfection — it means wholehearted, undivided covenant integrity. The command is not "be sinless before God" but "be wholly His — do not divide your allegiance between God and the nations’ sources of revelation." Preaching it as a moralistic standard creates a works-righteousness burden the text does not impose; preaching it as a call to undivided trust in a sufficient God produces the response the text actually seeks.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2026-07-14T21:02:06Z</dcterms:created>
  <dcterms:modified xsi:type="dcterms:W3CDTF">2026-07-14T21:02:06Z</dcterms:modified>
</cp:coreProperties>
</file>

<file path=docProps/custom.xml><?xml version="1.0" encoding="utf-8"?>
<Properties xmlns="http://schemas.openxmlformats.org/officeDocument/2006/custom-properties" xmlns:vt="http://schemas.openxmlformats.org/officeDocument/2006/docPropsVTypes"/>
</file>